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7796" w14:textId="7CF4830D" w:rsidR="00710950" w:rsidRPr="00710950" w:rsidRDefault="000E03AA" w:rsidP="00710950">
      <w:pPr>
        <w:spacing w:after="0"/>
        <w:jc w:val="center"/>
        <w:rPr>
          <w:rFonts w:ascii="Times New Roman" w:hAnsi="Times New Roman" w:cs="Times New Roman"/>
          <w:b/>
          <w:bCs/>
        </w:rPr>
      </w:pPr>
      <w:r>
        <w:rPr>
          <w:rFonts w:ascii="Times New Roman" w:hAnsi="Times New Roman" w:cs="Times New Roman"/>
          <w:b/>
          <w:bCs/>
        </w:rPr>
        <w:t>Johnson</w:t>
      </w:r>
      <w:r w:rsidR="00710950" w:rsidRPr="00710950">
        <w:rPr>
          <w:rFonts w:ascii="Times New Roman" w:hAnsi="Times New Roman" w:cs="Times New Roman"/>
          <w:b/>
          <w:bCs/>
        </w:rPr>
        <w:t xml:space="preserve"> County Voters to Decide Homestead Real Estate Tax Credit Question </w:t>
      </w:r>
    </w:p>
    <w:p w14:paraId="1D4E975A" w14:textId="77777777" w:rsidR="00710950" w:rsidRPr="00710950" w:rsidRDefault="00710950" w:rsidP="00710950">
      <w:pPr>
        <w:spacing w:after="0"/>
        <w:jc w:val="center"/>
        <w:rPr>
          <w:rFonts w:ascii="Times New Roman" w:hAnsi="Times New Roman" w:cs="Times New Roman"/>
          <w:b/>
          <w:bCs/>
        </w:rPr>
      </w:pPr>
      <w:r w:rsidRPr="00710950">
        <w:rPr>
          <w:rFonts w:ascii="Times New Roman" w:hAnsi="Times New Roman" w:cs="Times New Roman"/>
          <w:b/>
          <w:bCs/>
        </w:rPr>
        <w:t xml:space="preserve">on April 7, </w:t>
      </w:r>
      <w:proofErr w:type="gramStart"/>
      <w:r w:rsidRPr="00710950">
        <w:rPr>
          <w:rFonts w:ascii="Times New Roman" w:hAnsi="Times New Roman" w:cs="Times New Roman"/>
          <w:b/>
          <w:bCs/>
        </w:rPr>
        <w:t>2026</w:t>
      </w:r>
      <w:proofErr w:type="gramEnd"/>
      <w:r w:rsidRPr="00710950">
        <w:rPr>
          <w:rFonts w:ascii="Times New Roman" w:hAnsi="Times New Roman" w:cs="Times New Roman"/>
          <w:b/>
          <w:bCs/>
        </w:rPr>
        <w:t xml:space="preserve"> Ballot</w:t>
      </w:r>
    </w:p>
    <w:p w14:paraId="6B1113B6" w14:textId="77777777" w:rsidR="00710950" w:rsidRPr="00710950" w:rsidRDefault="00710950" w:rsidP="00710950">
      <w:pPr>
        <w:spacing w:after="0"/>
        <w:jc w:val="center"/>
        <w:rPr>
          <w:rFonts w:ascii="Times New Roman" w:hAnsi="Times New Roman" w:cs="Times New Roman"/>
          <w:b/>
          <w:bCs/>
        </w:rPr>
      </w:pPr>
    </w:p>
    <w:p w14:paraId="092E19EB" w14:textId="2C5736D3" w:rsidR="00710950" w:rsidRPr="00710950" w:rsidRDefault="000E03AA" w:rsidP="00710950">
      <w:pPr>
        <w:rPr>
          <w:rFonts w:ascii="Times New Roman" w:hAnsi="Times New Roman" w:cs="Times New Roman"/>
        </w:rPr>
      </w:pPr>
      <w:r>
        <w:rPr>
          <w:rFonts w:ascii="Times New Roman" w:hAnsi="Times New Roman" w:cs="Times New Roman"/>
        </w:rPr>
        <w:t>Johnson County,</w:t>
      </w:r>
      <w:r w:rsidR="00710950" w:rsidRPr="00710950">
        <w:rPr>
          <w:rFonts w:ascii="Times New Roman" w:hAnsi="Times New Roman" w:cs="Times New Roman"/>
        </w:rPr>
        <w:t xml:space="preserve"> Missouri – </w:t>
      </w:r>
      <w:r>
        <w:rPr>
          <w:rFonts w:ascii="Times New Roman" w:hAnsi="Times New Roman" w:cs="Times New Roman"/>
        </w:rPr>
        <w:t xml:space="preserve">Johnson </w:t>
      </w:r>
      <w:r w:rsidR="00710950" w:rsidRPr="00710950">
        <w:rPr>
          <w:rFonts w:ascii="Times New Roman" w:hAnsi="Times New Roman" w:cs="Times New Roman"/>
        </w:rPr>
        <w:t xml:space="preserve">County voters will soon decide whether to approve a Homestead Real Estate Tax Credit authorized by Senate Bill 3 (2025) and codified in 137.1055, </w:t>
      </w:r>
      <w:proofErr w:type="spellStart"/>
      <w:r w:rsidR="00710950" w:rsidRPr="00710950">
        <w:rPr>
          <w:rFonts w:ascii="Times New Roman" w:hAnsi="Times New Roman" w:cs="Times New Roman"/>
        </w:rPr>
        <w:t>RSMo</w:t>
      </w:r>
      <w:proofErr w:type="spellEnd"/>
      <w:r w:rsidR="00710950" w:rsidRPr="00710950">
        <w:rPr>
          <w:rFonts w:ascii="Times New Roman" w:hAnsi="Times New Roman" w:cs="Times New Roman"/>
        </w:rPr>
        <w:t xml:space="preserve">. The measure, if approved, would limit the amount property taxes can increase on eligible primary residences (homesteads) while protecting local services and ensuring the credit applies only where intended. </w:t>
      </w:r>
    </w:p>
    <w:p w14:paraId="48A4F5F5" w14:textId="77777777" w:rsidR="00710950" w:rsidRPr="00710950" w:rsidRDefault="00710950" w:rsidP="00710950">
      <w:pPr>
        <w:rPr>
          <w:rFonts w:ascii="Times New Roman" w:hAnsi="Times New Roman" w:cs="Times New Roman"/>
        </w:rPr>
      </w:pPr>
      <w:r w:rsidRPr="00710950">
        <w:rPr>
          <w:rFonts w:ascii="Times New Roman" w:hAnsi="Times New Roman" w:cs="Times New Roman"/>
        </w:rPr>
        <w:t xml:space="preserve">The ballot question, which will appear on the April 7, </w:t>
      </w:r>
      <w:proofErr w:type="gramStart"/>
      <w:r w:rsidRPr="00710950">
        <w:rPr>
          <w:rFonts w:ascii="Times New Roman" w:hAnsi="Times New Roman" w:cs="Times New Roman"/>
        </w:rPr>
        <w:t>2026</w:t>
      </w:r>
      <w:proofErr w:type="gramEnd"/>
      <w:r w:rsidRPr="00710950">
        <w:rPr>
          <w:rFonts w:ascii="Times New Roman" w:hAnsi="Times New Roman" w:cs="Times New Roman"/>
        </w:rPr>
        <w:t xml:space="preserve"> General Municipal Election ballot, reads: </w:t>
      </w:r>
    </w:p>
    <w:p w14:paraId="7B7C8A92" w14:textId="77777777" w:rsidR="00710950" w:rsidRPr="00710950" w:rsidRDefault="00710950" w:rsidP="00710950">
      <w:pPr>
        <w:rPr>
          <w:rFonts w:ascii="Times New Roman" w:hAnsi="Times New Roman" w:cs="Times New Roman"/>
        </w:rPr>
      </w:pPr>
      <w:r w:rsidRPr="00710950">
        <w:rPr>
          <w:rFonts w:ascii="Times New Roman" w:hAnsi="Times New Roman" w:cs="Times New Roman"/>
        </w:rPr>
        <w:t>“Shall the County of [County] exempt eligible taxpayers from certain tax increases on eligible taxpayers’ primary residence above the liability incurred during the initial credit year?”</w:t>
      </w:r>
    </w:p>
    <w:p w14:paraId="73DD09AF" w14:textId="77777777" w:rsidR="00710950" w:rsidRPr="00710950" w:rsidRDefault="00710950" w:rsidP="00710950">
      <w:pPr>
        <w:ind w:left="720"/>
        <w:rPr>
          <w:rFonts w:ascii="Times New Roman" w:hAnsi="Times New Roman" w:cs="Times New Roman"/>
        </w:rPr>
      </w:pPr>
      <w:r w:rsidRPr="00710950">
        <w:rPr>
          <w:rFonts w:ascii="Times New Roman" w:hAnsi="Times New Roman" w:cs="Times New Roman"/>
        </w:rPr>
        <w:t>□ YES</w:t>
      </w:r>
      <w:r w:rsidRPr="00710950">
        <w:rPr>
          <w:rFonts w:ascii="Times New Roman" w:hAnsi="Times New Roman" w:cs="Times New Roman"/>
        </w:rPr>
        <w:br/>
        <w:t xml:space="preserve">□ NO </w:t>
      </w:r>
    </w:p>
    <w:p w14:paraId="01C96827" w14:textId="04A54F7B" w:rsidR="00710950" w:rsidRPr="00710950" w:rsidRDefault="00710950" w:rsidP="00710950">
      <w:pPr>
        <w:ind w:firstLine="360"/>
        <w:rPr>
          <w:rFonts w:ascii="Times New Roman" w:hAnsi="Times New Roman" w:cs="Times New Roman"/>
        </w:rPr>
      </w:pPr>
      <w:r w:rsidRPr="00710950">
        <w:rPr>
          <w:rFonts w:ascii="Times New Roman" w:hAnsi="Times New Roman" w:cs="Times New Roman"/>
        </w:rPr>
        <w:t xml:space="preserve">A YES vote would authorize the credit, while a NO vote would not authorize the credit. Under the program, the real property tax liability on an eligible taxpayer’s homestead would not increase above the amount paid in the “initial credit year”. The credit applies only to a taxpayer’s primary residence—the home they </w:t>
      </w:r>
      <w:proofErr w:type="gramStart"/>
      <w:r w:rsidRPr="00710950">
        <w:rPr>
          <w:rFonts w:ascii="Times New Roman" w:hAnsi="Times New Roman" w:cs="Times New Roman"/>
        </w:rPr>
        <w:t>actually live</w:t>
      </w:r>
      <w:proofErr w:type="gramEnd"/>
      <w:r w:rsidRPr="00710950">
        <w:rPr>
          <w:rFonts w:ascii="Times New Roman" w:hAnsi="Times New Roman" w:cs="Times New Roman"/>
        </w:rPr>
        <w:t xml:space="preserve"> in. It does not apply to rental properties, agricultural land, commercial property, personal property, or second homes.  If approved, the County anticipates the tax credit would be implemented no later than tax year 2027.  </w:t>
      </w:r>
    </w:p>
    <w:p w14:paraId="26AD5119" w14:textId="77777777" w:rsidR="00710950" w:rsidRPr="00710950" w:rsidRDefault="00710950" w:rsidP="00710950">
      <w:pPr>
        <w:rPr>
          <w:rFonts w:ascii="Times New Roman" w:hAnsi="Times New Roman" w:cs="Times New Roman"/>
        </w:rPr>
      </w:pPr>
      <w:r w:rsidRPr="00710950">
        <w:rPr>
          <w:rFonts w:ascii="Times New Roman" w:hAnsi="Times New Roman" w:cs="Times New Roman"/>
        </w:rPr>
        <w:t xml:space="preserve">The </w:t>
      </w:r>
      <w:proofErr w:type="gramStart"/>
      <w:r w:rsidRPr="00710950">
        <w:rPr>
          <w:rFonts w:ascii="Times New Roman" w:hAnsi="Times New Roman" w:cs="Times New Roman"/>
        </w:rPr>
        <w:t>credit</w:t>
      </w:r>
      <w:proofErr w:type="gramEnd"/>
      <w:r w:rsidRPr="00710950">
        <w:rPr>
          <w:rFonts w:ascii="Times New Roman" w:hAnsi="Times New Roman" w:cs="Times New Roman"/>
        </w:rPr>
        <w:t xml:space="preserve"> </w:t>
      </w:r>
      <w:r w:rsidRPr="000E03AA">
        <w:rPr>
          <w:rFonts w:ascii="Times New Roman" w:hAnsi="Times New Roman" w:cs="Times New Roman"/>
          <w:b/>
          <w:bCs/>
        </w:rPr>
        <w:t>will</w:t>
      </w:r>
      <w:r w:rsidRPr="00710950">
        <w:rPr>
          <w:rFonts w:ascii="Times New Roman" w:hAnsi="Times New Roman" w:cs="Times New Roman"/>
        </w:rPr>
        <w:t xml:space="preserve">: </w:t>
      </w:r>
    </w:p>
    <w:p w14:paraId="620CF703" w14:textId="77777777" w:rsidR="00710950" w:rsidRPr="00710950" w:rsidRDefault="00710950" w:rsidP="00710950">
      <w:pPr>
        <w:numPr>
          <w:ilvl w:val="0"/>
          <w:numId w:val="1"/>
        </w:numPr>
        <w:rPr>
          <w:rFonts w:ascii="Times New Roman" w:hAnsi="Times New Roman" w:cs="Times New Roman"/>
        </w:rPr>
      </w:pPr>
      <w:r w:rsidRPr="00710950">
        <w:rPr>
          <w:rFonts w:ascii="Times New Roman" w:hAnsi="Times New Roman" w:cs="Times New Roman"/>
        </w:rPr>
        <w:t>Apply only to a taxpayer’s primary residence</w:t>
      </w:r>
    </w:p>
    <w:p w14:paraId="266D1126" w14:textId="54E6C69F" w:rsidR="00710950" w:rsidRPr="00CD4890" w:rsidRDefault="00710950" w:rsidP="00710950">
      <w:pPr>
        <w:numPr>
          <w:ilvl w:val="0"/>
          <w:numId w:val="1"/>
        </w:numPr>
        <w:rPr>
          <w:rFonts w:ascii="Times New Roman" w:hAnsi="Times New Roman" w:cs="Times New Roman"/>
        </w:rPr>
      </w:pPr>
      <w:r w:rsidRPr="00CD4890">
        <w:rPr>
          <w:rFonts w:ascii="Times New Roman" w:hAnsi="Times New Roman" w:cs="Times New Roman"/>
        </w:rPr>
        <w:t xml:space="preserve">Provide an annual credit equal to the difference between the current year’s tax liability and the initial credit year amount (subject to </w:t>
      </w:r>
      <w:r w:rsidRPr="00710950">
        <w:rPr>
          <w:rFonts w:ascii="Times New Roman" w:hAnsi="Times New Roman" w:cs="Times New Roman"/>
        </w:rPr>
        <w:t>certain limitations</w:t>
      </w:r>
      <w:r w:rsidRPr="00CD4890">
        <w:rPr>
          <w:rFonts w:ascii="Times New Roman" w:hAnsi="Times New Roman" w:cs="Times New Roman"/>
        </w:rPr>
        <w:t xml:space="preserve">). </w:t>
      </w:r>
    </w:p>
    <w:p w14:paraId="4137973A" w14:textId="77777777" w:rsidR="00710950" w:rsidRPr="00CD4890" w:rsidRDefault="00710950" w:rsidP="00710950">
      <w:pPr>
        <w:numPr>
          <w:ilvl w:val="0"/>
          <w:numId w:val="1"/>
        </w:numPr>
        <w:rPr>
          <w:rFonts w:ascii="Times New Roman" w:hAnsi="Times New Roman" w:cs="Times New Roman"/>
        </w:rPr>
      </w:pPr>
      <w:r w:rsidRPr="00CD4890">
        <w:rPr>
          <w:rFonts w:ascii="Times New Roman" w:hAnsi="Times New Roman" w:cs="Times New Roman"/>
        </w:rPr>
        <w:t>Require a</w:t>
      </w:r>
      <w:r w:rsidRPr="00710950">
        <w:rPr>
          <w:rFonts w:ascii="Times New Roman" w:hAnsi="Times New Roman" w:cs="Times New Roman"/>
        </w:rPr>
        <w:t>n</w:t>
      </w:r>
      <w:r w:rsidRPr="00CD4890">
        <w:rPr>
          <w:rFonts w:ascii="Times New Roman" w:hAnsi="Times New Roman" w:cs="Times New Roman"/>
        </w:rPr>
        <w:t xml:space="preserve"> application so only eligible </w:t>
      </w:r>
      <w:r w:rsidRPr="00710950">
        <w:rPr>
          <w:rFonts w:ascii="Times New Roman" w:hAnsi="Times New Roman" w:cs="Times New Roman"/>
        </w:rPr>
        <w:t>taxpayers</w:t>
      </w:r>
      <w:r w:rsidRPr="00CD4890">
        <w:rPr>
          <w:rFonts w:ascii="Times New Roman" w:hAnsi="Times New Roman" w:cs="Times New Roman"/>
        </w:rPr>
        <w:t xml:space="preserve"> receive the benefit</w:t>
      </w:r>
      <w:r w:rsidRPr="00710950">
        <w:rPr>
          <w:rFonts w:ascii="Times New Roman" w:hAnsi="Times New Roman" w:cs="Times New Roman"/>
        </w:rPr>
        <w:t xml:space="preserve"> on their </w:t>
      </w:r>
      <w:r w:rsidRPr="00CD4890">
        <w:rPr>
          <w:rFonts w:ascii="Times New Roman" w:hAnsi="Times New Roman" w:cs="Times New Roman"/>
        </w:rPr>
        <w:t xml:space="preserve">primary residence. </w:t>
      </w:r>
    </w:p>
    <w:p w14:paraId="0CB15D4C" w14:textId="77777777" w:rsidR="00710950" w:rsidRPr="00CD4890" w:rsidRDefault="00710950" w:rsidP="00710950">
      <w:pPr>
        <w:numPr>
          <w:ilvl w:val="0"/>
          <w:numId w:val="1"/>
        </w:numPr>
        <w:rPr>
          <w:rFonts w:ascii="Times New Roman" w:hAnsi="Times New Roman" w:cs="Times New Roman"/>
        </w:rPr>
      </w:pPr>
      <w:r w:rsidRPr="00CD4890">
        <w:rPr>
          <w:rFonts w:ascii="Times New Roman" w:hAnsi="Times New Roman" w:cs="Times New Roman"/>
        </w:rPr>
        <w:t>Allow taxpayers to continue receiving a tax bill that clearly reflects any credit.</w:t>
      </w:r>
    </w:p>
    <w:p w14:paraId="0B54DC31" w14:textId="77777777" w:rsidR="00710950" w:rsidRPr="00CD4890" w:rsidRDefault="00710950" w:rsidP="00710950">
      <w:pPr>
        <w:rPr>
          <w:rFonts w:ascii="Times New Roman" w:hAnsi="Times New Roman" w:cs="Times New Roman"/>
        </w:rPr>
      </w:pPr>
      <w:r w:rsidRPr="00710950">
        <w:rPr>
          <w:rFonts w:ascii="Times New Roman" w:hAnsi="Times New Roman" w:cs="Times New Roman"/>
        </w:rPr>
        <w:t xml:space="preserve">The credit </w:t>
      </w:r>
      <w:r w:rsidRPr="000E03AA">
        <w:rPr>
          <w:rFonts w:ascii="Times New Roman" w:hAnsi="Times New Roman" w:cs="Times New Roman"/>
          <w:b/>
          <w:bCs/>
        </w:rPr>
        <w:t>will not</w:t>
      </w:r>
      <w:r w:rsidRPr="00CD4890">
        <w:rPr>
          <w:rFonts w:ascii="Times New Roman" w:hAnsi="Times New Roman" w:cs="Times New Roman"/>
        </w:rPr>
        <w:t xml:space="preserve">: </w:t>
      </w:r>
    </w:p>
    <w:p w14:paraId="51900463" w14:textId="77777777" w:rsidR="00710950" w:rsidRPr="00CD4890" w:rsidRDefault="00710950" w:rsidP="00710950">
      <w:pPr>
        <w:numPr>
          <w:ilvl w:val="0"/>
          <w:numId w:val="2"/>
        </w:numPr>
        <w:rPr>
          <w:rFonts w:ascii="Times New Roman" w:hAnsi="Times New Roman" w:cs="Times New Roman"/>
        </w:rPr>
      </w:pPr>
      <w:r w:rsidRPr="00CD4890">
        <w:rPr>
          <w:rFonts w:ascii="Times New Roman" w:hAnsi="Times New Roman" w:cs="Times New Roman"/>
        </w:rPr>
        <w:t xml:space="preserve">Eliminate property taxes or freeze them permanently. </w:t>
      </w:r>
    </w:p>
    <w:p w14:paraId="1D0539D6" w14:textId="77777777" w:rsidR="00710950" w:rsidRPr="00CD4890" w:rsidRDefault="00710950" w:rsidP="00710950">
      <w:pPr>
        <w:numPr>
          <w:ilvl w:val="0"/>
          <w:numId w:val="2"/>
        </w:numPr>
        <w:rPr>
          <w:rFonts w:ascii="Times New Roman" w:hAnsi="Times New Roman" w:cs="Times New Roman"/>
        </w:rPr>
      </w:pPr>
      <w:r w:rsidRPr="00CD4890">
        <w:rPr>
          <w:rFonts w:ascii="Times New Roman" w:hAnsi="Times New Roman" w:cs="Times New Roman"/>
        </w:rPr>
        <w:t xml:space="preserve">Apply to new construction, improvements, or added value on the property. </w:t>
      </w:r>
    </w:p>
    <w:p w14:paraId="6C88817C" w14:textId="77777777" w:rsidR="00710950" w:rsidRPr="00CD4890" w:rsidRDefault="00710950" w:rsidP="00710950">
      <w:pPr>
        <w:numPr>
          <w:ilvl w:val="0"/>
          <w:numId w:val="2"/>
        </w:numPr>
        <w:rPr>
          <w:rFonts w:ascii="Times New Roman" w:hAnsi="Times New Roman" w:cs="Times New Roman"/>
        </w:rPr>
      </w:pPr>
      <w:r w:rsidRPr="00CD4890">
        <w:rPr>
          <w:rFonts w:ascii="Times New Roman" w:hAnsi="Times New Roman" w:cs="Times New Roman"/>
        </w:rPr>
        <w:t xml:space="preserve">Cover increases from new voter-approved levies, voter-approved increases in existing levies, annexation into new taxing jurisdictions, the State Blind Pension Fund, or bonded indebtedness. </w:t>
      </w:r>
    </w:p>
    <w:p w14:paraId="4BDC5B78" w14:textId="77777777" w:rsidR="00710950" w:rsidRPr="00CD4890" w:rsidRDefault="00710950" w:rsidP="00710950">
      <w:pPr>
        <w:numPr>
          <w:ilvl w:val="0"/>
          <w:numId w:val="2"/>
        </w:numPr>
        <w:rPr>
          <w:rFonts w:ascii="Times New Roman" w:hAnsi="Times New Roman" w:cs="Times New Roman"/>
        </w:rPr>
      </w:pPr>
      <w:r w:rsidRPr="00CD4890">
        <w:rPr>
          <w:rFonts w:ascii="Times New Roman" w:hAnsi="Times New Roman" w:cs="Times New Roman"/>
        </w:rPr>
        <w:lastRenderedPageBreak/>
        <w:t xml:space="preserve">Benefit non-residential or non-homestead properties. </w:t>
      </w:r>
    </w:p>
    <w:p w14:paraId="5FADFA4F" w14:textId="77777777" w:rsidR="00710950" w:rsidRPr="00CD4890" w:rsidRDefault="00710950" w:rsidP="00710950">
      <w:pPr>
        <w:numPr>
          <w:ilvl w:val="0"/>
          <w:numId w:val="2"/>
        </w:numPr>
        <w:rPr>
          <w:rFonts w:ascii="Times New Roman" w:hAnsi="Times New Roman" w:cs="Times New Roman"/>
        </w:rPr>
      </w:pPr>
      <w:r w:rsidRPr="00CD4890">
        <w:rPr>
          <w:rFonts w:ascii="Times New Roman" w:hAnsi="Times New Roman" w:cs="Times New Roman"/>
        </w:rPr>
        <w:t>Automatically enroll anyone</w:t>
      </w:r>
      <w:r w:rsidRPr="00710950">
        <w:rPr>
          <w:rFonts w:ascii="Times New Roman" w:hAnsi="Times New Roman" w:cs="Times New Roman"/>
        </w:rPr>
        <w:t xml:space="preserve"> </w:t>
      </w:r>
      <w:r w:rsidRPr="00CD4890">
        <w:rPr>
          <w:rFonts w:ascii="Times New Roman" w:hAnsi="Times New Roman" w:cs="Times New Roman"/>
        </w:rPr>
        <w:t>—</w:t>
      </w:r>
      <w:r w:rsidRPr="00710950">
        <w:rPr>
          <w:rFonts w:ascii="Times New Roman" w:hAnsi="Times New Roman" w:cs="Times New Roman"/>
        </w:rPr>
        <w:t xml:space="preserve"> </w:t>
      </w:r>
      <w:r w:rsidRPr="00CD4890">
        <w:rPr>
          <w:rFonts w:ascii="Times New Roman" w:hAnsi="Times New Roman" w:cs="Times New Roman"/>
        </w:rPr>
        <w:t>participation is voluntary and requires an approved application each year.</w:t>
      </w:r>
    </w:p>
    <w:p w14:paraId="3068A23C" w14:textId="77777777" w:rsidR="00710950" w:rsidRPr="00710950" w:rsidRDefault="00710950" w:rsidP="00710950">
      <w:pPr>
        <w:ind w:firstLine="720"/>
        <w:rPr>
          <w:rFonts w:ascii="Times New Roman" w:hAnsi="Times New Roman" w:cs="Times New Roman"/>
        </w:rPr>
      </w:pPr>
      <w:r w:rsidRPr="00CD4890">
        <w:rPr>
          <w:rFonts w:ascii="Times New Roman" w:hAnsi="Times New Roman" w:cs="Times New Roman"/>
        </w:rPr>
        <w:t>If approved, the credit could reduce revenue for school districts, cities, fire districts, ambulance districts, the county, and other taxing entities that rely on property taxes. Those districts may need to adjust budgets to maintain services.</w:t>
      </w:r>
    </w:p>
    <w:p w14:paraId="3924A31A" w14:textId="77777777" w:rsidR="00710950" w:rsidRPr="00710950" w:rsidRDefault="00710950" w:rsidP="00710950">
      <w:pPr>
        <w:ind w:firstLine="720"/>
        <w:rPr>
          <w:rFonts w:ascii="Times New Roman" w:hAnsi="Times New Roman" w:cs="Times New Roman"/>
        </w:rPr>
      </w:pPr>
      <w:r w:rsidRPr="00710950">
        <w:rPr>
          <w:rFonts w:ascii="Times New Roman" w:hAnsi="Times New Roman" w:cs="Times New Roman"/>
        </w:rPr>
        <w:t xml:space="preserve">Voters should be aware that there are ongoing lawsuits challenging the constitutionality of SB 3 which may affect the validity, implementation or applicability of the Homestead Tax Credit statement – regardless of whether voters approve the ballot question.  If the courts find the relevant provisions unconstitutional, the credit may not </w:t>
      </w:r>
      <w:proofErr w:type="gramStart"/>
      <w:r w:rsidRPr="00710950">
        <w:rPr>
          <w:rFonts w:ascii="Times New Roman" w:hAnsi="Times New Roman" w:cs="Times New Roman"/>
        </w:rPr>
        <w:t>take</w:t>
      </w:r>
      <w:proofErr w:type="gramEnd"/>
      <w:r w:rsidRPr="00710950">
        <w:rPr>
          <w:rFonts w:ascii="Times New Roman" w:hAnsi="Times New Roman" w:cs="Times New Roman"/>
        </w:rPr>
        <w:t xml:space="preserve"> effect or may </w:t>
      </w:r>
      <w:proofErr w:type="gramStart"/>
      <w:r w:rsidRPr="00710950">
        <w:rPr>
          <w:rFonts w:ascii="Times New Roman" w:hAnsi="Times New Roman" w:cs="Times New Roman"/>
        </w:rPr>
        <w:t>take</w:t>
      </w:r>
      <w:proofErr w:type="gramEnd"/>
      <w:r w:rsidRPr="00710950">
        <w:rPr>
          <w:rFonts w:ascii="Times New Roman" w:hAnsi="Times New Roman" w:cs="Times New Roman"/>
        </w:rPr>
        <w:t xml:space="preserve"> effect and later be declared unlawful.  If the courts uphold SB 3, then the vote on the ballot question will determine whether the Homestead Tax Credit will apply in the county. </w:t>
      </w:r>
    </w:p>
    <w:p w14:paraId="4D91E4FA" w14:textId="213A88E8" w:rsidR="00710950" w:rsidRPr="00710950" w:rsidRDefault="00710950" w:rsidP="00710950">
      <w:pPr>
        <w:ind w:firstLine="720"/>
        <w:rPr>
          <w:rFonts w:ascii="Times New Roman" w:hAnsi="Times New Roman" w:cs="Times New Roman"/>
        </w:rPr>
      </w:pPr>
      <w:r w:rsidRPr="00CD4890">
        <w:rPr>
          <w:rFonts w:ascii="Times New Roman" w:hAnsi="Times New Roman" w:cs="Times New Roman"/>
        </w:rPr>
        <w:t xml:space="preserve">The program is separate from </w:t>
      </w:r>
      <w:r w:rsidRPr="00710950">
        <w:rPr>
          <w:rFonts w:ascii="Times New Roman" w:hAnsi="Times New Roman" w:cs="Times New Roman"/>
        </w:rPr>
        <w:t>the</w:t>
      </w:r>
      <w:r w:rsidRPr="00CD4890">
        <w:rPr>
          <w:rFonts w:ascii="Times New Roman" w:hAnsi="Times New Roman" w:cs="Times New Roman"/>
        </w:rPr>
        <w:t xml:space="preserve"> existing Senior Property Tax Credit </w:t>
      </w:r>
      <w:r w:rsidRPr="00710950">
        <w:rPr>
          <w:rFonts w:ascii="Times New Roman" w:hAnsi="Times New Roman" w:cs="Times New Roman"/>
        </w:rPr>
        <w:t xml:space="preserve">under </w:t>
      </w:r>
      <w:r w:rsidRPr="00CD4890">
        <w:rPr>
          <w:rFonts w:ascii="Times New Roman" w:hAnsi="Times New Roman" w:cs="Times New Roman"/>
        </w:rPr>
        <w:t xml:space="preserve">SB 190. Eligible seniors may qualify for both programs, but they </w:t>
      </w:r>
      <w:r w:rsidRPr="00710950">
        <w:rPr>
          <w:rFonts w:ascii="Times New Roman" w:hAnsi="Times New Roman" w:cs="Times New Roman"/>
        </w:rPr>
        <w:t>will not receive a tax credit under both programs.</w:t>
      </w:r>
    </w:p>
    <w:p w14:paraId="710A1E10" w14:textId="6646D4AD" w:rsidR="00710950" w:rsidRPr="00CD4890" w:rsidRDefault="00710950" w:rsidP="00710950">
      <w:pPr>
        <w:ind w:firstLine="720"/>
        <w:rPr>
          <w:rFonts w:ascii="Times New Roman" w:hAnsi="Times New Roman" w:cs="Times New Roman"/>
        </w:rPr>
      </w:pPr>
      <w:r w:rsidRPr="00CD4890">
        <w:rPr>
          <w:rFonts w:ascii="Times New Roman" w:hAnsi="Times New Roman" w:cs="Times New Roman"/>
        </w:rPr>
        <w:t>For questions, contact the Co</w:t>
      </w:r>
      <w:r w:rsidRPr="00710950">
        <w:rPr>
          <w:rFonts w:ascii="Times New Roman" w:hAnsi="Times New Roman" w:cs="Times New Roman"/>
        </w:rPr>
        <w:t xml:space="preserve">unty </w:t>
      </w:r>
      <w:r w:rsidR="00133360">
        <w:rPr>
          <w:rFonts w:ascii="Times New Roman" w:hAnsi="Times New Roman" w:cs="Times New Roman"/>
        </w:rPr>
        <w:t xml:space="preserve">Commission </w:t>
      </w:r>
      <w:r w:rsidRPr="00CD4890">
        <w:rPr>
          <w:rFonts w:ascii="Times New Roman" w:hAnsi="Times New Roman" w:cs="Times New Roman"/>
        </w:rPr>
        <w:t xml:space="preserve">at the </w:t>
      </w:r>
      <w:r w:rsidRPr="00710950">
        <w:rPr>
          <w:rFonts w:ascii="Times New Roman" w:hAnsi="Times New Roman" w:cs="Times New Roman"/>
        </w:rPr>
        <w:t xml:space="preserve">following telephone </w:t>
      </w:r>
      <w:r w:rsidRPr="00CD4890">
        <w:rPr>
          <w:rFonts w:ascii="Times New Roman" w:hAnsi="Times New Roman" w:cs="Times New Roman"/>
        </w:rPr>
        <w:t>number</w:t>
      </w:r>
      <w:r w:rsidRPr="00710950">
        <w:rPr>
          <w:rFonts w:ascii="Times New Roman" w:hAnsi="Times New Roman" w:cs="Times New Roman"/>
        </w:rPr>
        <w:t xml:space="preserve">: </w:t>
      </w:r>
      <w:r w:rsidR="00133360">
        <w:rPr>
          <w:rFonts w:ascii="Times New Roman" w:hAnsi="Times New Roman" w:cs="Times New Roman"/>
        </w:rPr>
        <w:t xml:space="preserve">660-747-2112 or visit the county website at </w:t>
      </w:r>
      <w:hyperlink r:id="rId8" w:history="1">
        <w:r w:rsidR="00133360" w:rsidRPr="00EA09FD">
          <w:rPr>
            <w:rStyle w:val="Hyperlink"/>
            <w:rFonts w:ascii="Times New Roman" w:hAnsi="Times New Roman" w:cs="Times New Roman"/>
          </w:rPr>
          <w:t>www.jococourthouse.com</w:t>
        </w:r>
      </w:hyperlink>
      <w:r w:rsidR="00133360">
        <w:rPr>
          <w:rFonts w:ascii="Times New Roman" w:hAnsi="Times New Roman" w:cs="Times New Roman"/>
        </w:rPr>
        <w:t xml:space="preserve"> for a list of frequently asked questions.</w:t>
      </w:r>
    </w:p>
    <w:p w14:paraId="2C304473" w14:textId="77777777" w:rsidR="00710950" w:rsidRPr="00710950" w:rsidRDefault="00710950" w:rsidP="00710950">
      <w:pPr>
        <w:rPr>
          <w:rFonts w:ascii="Times New Roman" w:hAnsi="Times New Roman" w:cs="Times New Roman"/>
        </w:rPr>
      </w:pPr>
    </w:p>
    <w:p w14:paraId="0B692A80" w14:textId="77777777" w:rsidR="00E565E6" w:rsidRPr="00710950" w:rsidRDefault="00E565E6">
      <w:pPr>
        <w:rPr>
          <w:rFonts w:ascii="Times New Roman" w:hAnsi="Times New Roman" w:cs="Times New Roman"/>
        </w:rPr>
      </w:pPr>
    </w:p>
    <w:sectPr w:rsidR="00E565E6" w:rsidRPr="00710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4A56"/>
    <w:multiLevelType w:val="multilevel"/>
    <w:tmpl w:val="3010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510072"/>
    <w:multiLevelType w:val="multilevel"/>
    <w:tmpl w:val="7B3A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9222200">
    <w:abstractNumId w:val="0"/>
  </w:num>
  <w:num w:numId="2" w16cid:durableId="12554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50"/>
    <w:rsid w:val="000E03AA"/>
    <w:rsid w:val="00133360"/>
    <w:rsid w:val="00153A00"/>
    <w:rsid w:val="00261B31"/>
    <w:rsid w:val="00622BA3"/>
    <w:rsid w:val="00710950"/>
    <w:rsid w:val="009C66E4"/>
    <w:rsid w:val="00E5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0D50"/>
  <w15:chartTrackingRefBased/>
  <w15:docId w15:val="{2EC4B837-55A0-42E4-B7CA-1AF2F13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50"/>
  </w:style>
  <w:style w:type="paragraph" w:styleId="Heading1">
    <w:name w:val="heading 1"/>
    <w:basedOn w:val="Normal"/>
    <w:next w:val="Normal"/>
    <w:link w:val="Heading1Char"/>
    <w:uiPriority w:val="9"/>
    <w:qFormat/>
    <w:rsid w:val="00710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950"/>
    <w:rPr>
      <w:rFonts w:eastAsiaTheme="majorEastAsia" w:cstheme="majorBidi"/>
      <w:color w:val="272727" w:themeColor="text1" w:themeTint="D8"/>
    </w:rPr>
  </w:style>
  <w:style w:type="paragraph" w:styleId="Title">
    <w:name w:val="Title"/>
    <w:basedOn w:val="Normal"/>
    <w:next w:val="Normal"/>
    <w:link w:val="TitleChar"/>
    <w:uiPriority w:val="10"/>
    <w:qFormat/>
    <w:rsid w:val="00710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950"/>
    <w:pPr>
      <w:spacing w:before="160"/>
      <w:jc w:val="center"/>
    </w:pPr>
    <w:rPr>
      <w:i/>
      <w:iCs/>
      <w:color w:val="404040" w:themeColor="text1" w:themeTint="BF"/>
    </w:rPr>
  </w:style>
  <w:style w:type="character" w:customStyle="1" w:styleId="QuoteChar">
    <w:name w:val="Quote Char"/>
    <w:basedOn w:val="DefaultParagraphFont"/>
    <w:link w:val="Quote"/>
    <w:uiPriority w:val="29"/>
    <w:rsid w:val="00710950"/>
    <w:rPr>
      <w:i/>
      <w:iCs/>
      <w:color w:val="404040" w:themeColor="text1" w:themeTint="BF"/>
    </w:rPr>
  </w:style>
  <w:style w:type="paragraph" w:styleId="ListParagraph">
    <w:name w:val="List Paragraph"/>
    <w:basedOn w:val="Normal"/>
    <w:uiPriority w:val="34"/>
    <w:qFormat/>
    <w:rsid w:val="00710950"/>
    <w:pPr>
      <w:ind w:left="720"/>
      <w:contextualSpacing/>
    </w:pPr>
  </w:style>
  <w:style w:type="character" w:styleId="IntenseEmphasis">
    <w:name w:val="Intense Emphasis"/>
    <w:basedOn w:val="DefaultParagraphFont"/>
    <w:uiPriority w:val="21"/>
    <w:qFormat/>
    <w:rsid w:val="00710950"/>
    <w:rPr>
      <w:i/>
      <w:iCs/>
      <w:color w:val="0F4761" w:themeColor="accent1" w:themeShade="BF"/>
    </w:rPr>
  </w:style>
  <w:style w:type="paragraph" w:styleId="IntenseQuote">
    <w:name w:val="Intense Quote"/>
    <w:basedOn w:val="Normal"/>
    <w:next w:val="Normal"/>
    <w:link w:val="IntenseQuoteChar"/>
    <w:uiPriority w:val="30"/>
    <w:qFormat/>
    <w:rsid w:val="00710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950"/>
    <w:rPr>
      <w:i/>
      <w:iCs/>
      <w:color w:val="0F4761" w:themeColor="accent1" w:themeShade="BF"/>
    </w:rPr>
  </w:style>
  <w:style w:type="character" w:styleId="IntenseReference">
    <w:name w:val="Intense Reference"/>
    <w:basedOn w:val="DefaultParagraphFont"/>
    <w:uiPriority w:val="32"/>
    <w:qFormat/>
    <w:rsid w:val="00710950"/>
    <w:rPr>
      <w:b/>
      <w:bCs/>
      <w:smallCaps/>
      <w:color w:val="0F4761" w:themeColor="accent1" w:themeShade="BF"/>
      <w:spacing w:val="5"/>
    </w:rPr>
  </w:style>
  <w:style w:type="character" w:styleId="Hyperlink">
    <w:name w:val="Hyperlink"/>
    <w:basedOn w:val="DefaultParagraphFont"/>
    <w:uiPriority w:val="99"/>
    <w:unhideWhenUsed/>
    <w:rsid w:val="00133360"/>
    <w:rPr>
      <w:color w:val="467886" w:themeColor="hyperlink"/>
      <w:u w:val="single"/>
    </w:rPr>
  </w:style>
  <w:style w:type="character" w:styleId="UnresolvedMention">
    <w:name w:val="Unresolved Mention"/>
    <w:basedOn w:val="DefaultParagraphFont"/>
    <w:uiPriority w:val="99"/>
    <w:semiHidden/>
    <w:unhideWhenUsed/>
    <w:rsid w:val="0013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cocourthous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d5c9837c-a4a0-4619-9886-e67eba969a64" xsi:nil="true"/>
    <TaxCatchAll xmlns="a9ceddb9-f6e1-421c-842d-6e8f906335c7" xsi:nil="true"/>
    <lcf76f155ced4ddcb4097134ff3c332f xmlns="d5c9837c-a4a0-4619-9886-e67eba969a64">
      <Terms xmlns="http://schemas.microsoft.com/office/infopath/2007/PartnerControls"/>
    </lcf76f155ced4ddcb4097134ff3c332f>
    <Date_x002d_Time xmlns="d5c9837c-a4a0-4619-9886-e67eba969a64" xsi:nil="true"/>
    <Text xmlns="d5c9837c-a4a0-4619-9886-e67eba969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2DC4731BDF14290AF061349956703" ma:contentTypeVersion="18" ma:contentTypeDescription="Create a new document." ma:contentTypeScope="" ma:versionID="295de8a82f6e1aed0a83b7f28527e5f6">
  <xsd:schema xmlns:xsd="http://www.w3.org/2001/XMLSchema" xmlns:xs="http://www.w3.org/2001/XMLSchema" xmlns:p="http://schemas.microsoft.com/office/2006/metadata/properties" xmlns:ns2="d5c9837c-a4a0-4619-9886-e67eba969a64" xmlns:ns3="a9ceddb9-f6e1-421c-842d-6e8f906335c7" targetNamespace="http://schemas.microsoft.com/office/2006/metadata/properties" ma:root="true" ma:fieldsID="1e4946608564eabf2aa3a13630bfca9a" ns2:_="" ns3:_="">
    <xsd:import namespace="d5c9837c-a4a0-4619-9886-e67eba969a64"/>
    <xsd:import namespace="a9ceddb9-f6e1-421c-842d-6e8f906335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Date_x002d_Time" minOccurs="0"/>
                <xsd:element ref="ns2:Text"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9837c-a4a0-4619-9886-e67eba969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4f26f2-5add-4fa5-8290-0cf3fe4b0fc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Date_x002d_Time" ma:index="22" nillable="true" ma:displayName="Date-Time" ma:format="Dropdown" ma:internalName="Date_x002d_Time">
      <xsd:simpleType>
        <xsd:restriction base="dms:Text">
          <xsd:maxLength value="255"/>
        </xsd:restriction>
      </xsd:simpleType>
    </xsd:element>
    <xsd:element name="Text" ma:index="23" nillable="true" ma:displayName="Text" ma:format="Dropdown" ma:internalName="Tex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ortOrder" ma:index="25" nillable="true" ma:displayName="Sort Order"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ceddb9-f6e1-421c-842d-6e8f906335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332e79-6c8e-431f-a3be-0a13fa7a7a5d}" ma:internalName="TaxCatchAll" ma:showField="CatchAllData" ma:web="a9ceddb9-f6e1-421c-842d-6e8f906335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2E78-2635-4CF5-8926-2F90E80D42F8}">
  <ds:schemaRefs>
    <ds:schemaRef ds:uri="http://schemas.microsoft.com/office/2006/metadata/properties"/>
    <ds:schemaRef ds:uri="http://schemas.microsoft.com/office/infopath/2007/PartnerControls"/>
    <ds:schemaRef ds:uri="d5c9837c-a4a0-4619-9886-e67eba969a64"/>
    <ds:schemaRef ds:uri="a9ceddb9-f6e1-421c-842d-6e8f906335c7"/>
  </ds:schemaRefs>
</ds:datastoreItem>
</file>

<file path=customXml/itemProps2.xml><?xml version="1.0" encoding="utf-8"?>
<ds:datastoreItem xmlns:ds="http://schemas.openxmlformats.org/officeDocument/2006/customXml" ds:itemID="{FD2B5ED5-763A-442F-9C77-4A5BEEC58075}">
  <ds:schemaRefs>
    <ds:schemaRef ds:uri="http://schemas.microsoft.com/sharepoint/v3/contenttype/forms"/>
  </ds:schemaRefs>
</ds:datastoreItem>
</file>

<file path=customXml/itemProps3.xml><?xml version="1.0" encoding="utf-8"?>
<ds:datastoreItem xmlns:ds="http://schemas.openxmlformats.org/officeDocument/2006/customXml" ds:itemID="{282C659F-F1A1-41C3-B6DD-DE0AFB81C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9837c-a4a0-4619-9886-e67eba969a64"/>
    <ds:schemaRef ds:uri="a9ceddb9-f6e1-421c-842d-6e8f9063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2944</Characters>
  <Application>Microsoft Office Word</Application>
  <DocSecurity>4</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Elliott</dc:creator>
  <cp:keywords/>
  <dc:description/>
  <cp:lastModifiedBy>Diane Thompson</cp:lastModifiedBy>
  <cp:revision>2</cp:revision>
  <dcterms:created xsi:type="dcterms:W3CDTF">2026-03-27T18:43:00Z</dcterms:created>
  <dcterms:modified xsi:type="dcterms:W3CDTF">2026-03-27T18:43:00Z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0x010100FFE2DC4731BDF14290AF061349956703</vt:lpwstr>
  </property>
</Properties>
</file>